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482" w:afterAutospacing="0" w:line="22" w:lineRule="atLeast"/>
        <w:ind w:left="0" w:right="0"/>
        <w:jc w:val="center"/>
        <w:rPr>
          <w:color w:val="005C6B"/>
          <w:sz w:val="31"/>
          <w:szCs w:val="31"/>
        </w:rPr>
      </w:pPr>
      <w:bookmarkStart w:id="0" w:name="_GoBack"/>
      <w:r>
        <w:rPr>
          <w:rFonts w:ascii="微软雅黑" w:hAnsi="微软雅黑" w:eastAsia="微软雅黑" w:cs="微软雅黑"/>
          <w:i w:val="0"/>
          <w:caps w:val="0"/>
          <w:color w:val="005C6B"/>
          <w:spacing w:val="0"/>
          <w:sz w:val="31"/>
          <w:szCs w:val="31"/>
          <w:bdr w:val="none" w:color="auto" w:sz="0" w:space="0"/>
          <w:shd w:val="clear" w:fill="FFFFFF"/>
        </w:rPr>
        <w:t>暨南大学2020-2021学年秋季学期全日制本科生开学工作指引</w:t>
      </w:r>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362" w:afterAutospacing="0"/>
        <w:ind w:left="0" w:right="0"/>
        <w:jc w:val="center"/>
        <w:rPr>
          <w:rFonts w:hint="eastAsia" w:ascii="微软雅黑" w:hAnsi="微软雅黑" w:eastAsia="微软雅黑" w:cs="微软雅黑"/>
          <w:color w:val="747474"/>
          <w:sz w:val="14"/>
          <w:szCs w:val="14"/>
        </w:rPr>
      </w:pPr>
      <w:r>
        <w:rPr>
          <w:rFonts w:hint="eastAsia" w:ascii="微软雅黑" w:hAnsi="微软雅黑" w:eastAsia="微软雅黑" w:cs="微软雅黑"/>
          <w:i w:val="0"/>
          <w:caps w:val="0"/>
          <w:color w:val="747474"/>
          <w:spacing w:val="0"/>
          <w:sz w:val="14"/>
          <w:szCs w:val="14"/>
          <w:bdr w:val="none" w:color="auto" w:sz="0" w:space="0"/>
          <w:shd w:val="clear" w:fill="FFFFFF"/>
        </w:rPr>
        <w:t>发布单位：教学研究科 [2020-08-24 15:00:57] </w:t>
      </w:r>
      <w:r>
        <w:rPr>
          <w:rFonts w:hint="eastAsia" w:ascii="微软雅黑" w:hAnsi="微软雅黑" w:eastAsia="微软雅黑" w:cs="微软雅黑"/>
          <w:i w:val="0"/>
          <w:caps w:val="0"/>
          <w:color w:val="005C6B"/>
          <w:spacing w:val="0"/>
          <w:sz w:val="14"/>
          <w:szCs w:val="14"/>
          <w:u w:val="none"/>
          <w:bdr w:val="none" w:color="auto" w:sz="0" w:space="0"/>
          <w:shd w:val="clear" w:fill="FFFFFF"/>
        </w:rPr>
        <w:fldChar w:fldCharType="begin"/>
      </w:r>
      <w:r>
        <w:rPr>
          <w:rFonts w:hint="eastAsia" w:ascii="微软雅黑" w:hAnsi="微软雅黑" w:eastAsia="微软雅黑" w:cs="微软雅黑"/>
          <w:i w:val="0"/>
          <w:caps w:val="0"/>
          <w:color w:val="005C6B"/>
          <w:spacing w:val="0"/>
          <w:sz w:val="14"/>
          <w:szCs w:val="14"/>
          <w:u w:val="none"/>
          <w:bdr w:val="none" w:color="auto" w:sz="0" w:space="0"/>
          <w:shd w:val="clear" w:fill="FFFFFF"/>
        </w:rPr>
        <w:instrText xml:space="preserve"> HYPERLINK "https://www.jnu.edu.cn/2020/0824/c2619a509319/javascript:void(0);" </w:instrText>
      </w:r>
      <w:r>
        <w:rPr>
          <w:rFonts w:hint="eastAsia" w:ascii="微软雅黑" w:hAnsi="微软雅黑" w:eastAsia="微软雅黑" w:cs="微软雅黑"/>
          <w:i w:val="0"/>
          <w:caps w:val="0"/>
          <w:color w:val="005C6B"/>
          <w:spacing w:val="0"/>
          <w:sz w:val="14"/>
          <w:szCs w:val="14"/>
          <w:u w:val="none"/>
          <w:bdr w:val="none" w:color="auto" w:sz="0" w:space="0"/>
          <w:shd w:val="clear" w:fill="FFFFFF"/>
        </w:rPr>
        <w:fldChar w:fldCharType="separate"/>
      </w:r>
      <w:r>
        <w:rPr>
          <w:rStyle w:val="8"/>
          <w:rFonts w:hint="eastAsia" w:ascii="微软雅黑" w:hAnsi="微软雅黑" w:eastAsia="微软雅黑" w:cs="微软雅黑"/>
          <w:i w:val="0"/>
          <w:caps w:val="0"/>
          <w:color w:val="005C6B"/>
          <w:spacing w:val="0"/>
          <w:sz w:val="14"/>
          <w:szCs w:val="14"/>
          <w:u w:val="none"/>
          <w:bdr w:val="none" w:color="auto" w:sz="0" w:space="0"/>
          <w:shd w:val="clear" w:fill="FFFFFF"/>
        </w:rPr>
        <w:t>打印此信息</w:t>
      </w:r>
      <w:r>
        <w:rPr>
          <w:rFonts w:hint="eastAsia" w:ascii="微软雅黑" w:hAnsi="微软雅黑" w:eastAsia="微软雅黑" w:cs="微软雅黑"/>
          <w:i w:val="0"/>
          <w:caps w:val="0"/>
          <w:color w:val="005C6B"/>
          <w:spacing w:val="0"/>
          <w:sz w:val="14"/>
          <w:szCs w:val="14"/>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jc w:val="left"/>
        <w:rPr>
          <w:rFonts w:hint="eastAsia" w:ascii="微软雅黑" w:hAnsi="微软雅黑" w:eastAsia="微软雅黑" w:cs="微软雅黑"/>
          <w:color w:val="171717"/>
          <w:sz w:val="21"/>
          <w:szCs w:val="21"/>
        </w:rPr>
      </w:pPr>
      <w:r>
        <w:rPr>
          <w:rFonts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各位同学：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firstLine="516"/>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大家好！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firstLine="516"/>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在目前疫情结束时间尚不明确，境外疫情形势严峻且境外学生无法正常返校的前提下，按照教育部、中央统战部以及广东省教育厅的指示和要求，结合疫情、校情和学情变化，学校按照部分学生不返校的实际情况，开展2020-2021学年秋季学期全日制本科教学工作。请全体全日制本科学生做好以下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firstLine="516"/>
        <w:jc w:val="left"/>
        <w:rPr>
          <w:rFonts w:hint="eastAsia" w:ascii="微软雅黑" w:hAnsi="微软雅黑" w:eastAsia="微软雅黑" w:cs="微软雅黑"/>
          <w:color w:val="171717"/>
          <w:sz w:val="21"/>
          <w:szCs w:val="21"/>
        </w:rPr>
      </w:pPr>
      <w:r>
        <w:rPr>
          <w:rStyle w:val="7"/>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一、学生注册</w:t>
      </w: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学生注册时间为2020年9月5日—18日。8月1日起同学们可登录暨南大学网上自助缴费平台（https://fee.jnu.edu.cn）或关注“暨南大学财务与国有资产管理处”微信公众号自行缴纳学费。成功缴纳学费的学生方可进行注册、参与教学活动。辅修学士学位（双学位）学生注册工作由办班单位在综合教务系统为学生办理注册手续，并安排上课班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firstLine="516"/>
        <w:jc w:val="left"/>
        <w:rPr>
          <w:rFonts w:hint="eastAsia" w:ascii="微软雅黑" w:hAnsi="微软雅黑" w:eastAsia="微软雅黑" w:cs="微软雅黑"/>
          <w:color w:val="171717"/>
          <w:sz w:val="21"/>
          <w:szCs w:val="21"/>
        </w:rPr>
      </w:pPr>
      <w:r>
        <w:rPr>
          <w:rStyle w:val="7"/>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二、学生选课：</w:t>
      </w: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学生第二阶段选课工作分为测试选课阶段与正式选课阶段。测试选课阶段时间为8月19日—28日，学生可登录新选课系统（https://www.webvpn.jnu.edu.cn/），点击“教务选课系统”，再使用校内门户账号密码登录，进行选课相关测试，系统测试期间选课数据仅供参考，不作为正式结果；正式选课时间为8月31日—9月4日（本阶段选课不检测学生注册状态，并完成通识教育选修课程筛选）。因补考延期或其他导致有选课困难的学生于9月3日前反馈至各教学单位教科办（无教科办可联系教务秘书），学校将尽力协助解决，否则逾期将影响后续工作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firstLine="516"/>
        <w:jc w:val="left"/>
        <w:rPr>
          <w:rFonts w:hint="eastAsia" w:ascii="微软雅黑" w:hAnsi="微软雅黑" w:eastAsia="微软雅黑" w:cs="微软雅黑"/>
          <w:color w:val="171717"/>
          <w:sz w:val="21"/>
          <w:szCs w:val="21"/>
        </w:rPr>
      </w:pPr>
      <w:r>
        <w:rPr>
          <w:rStyle w:val="7"/>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三、新生开学工作：</w:t>
      </w: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2020级全日制本科新生根据录取通知书要求到校报到并完成新生训练营后，从9月28日起开始正式上课。新生注册时间为9月21—27日，新生选课时间为9月24—27日，请同学们届时按照学校选课通知操作。如遇困难要及时向所在学院教科办反映，寻求学院教务秘书协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firstLine="516"/>
        <w:jc w:val="left"/>
        <w:rPr>
          <w:rFonts w:hint="eastAsia" w:ascii="微软雅黑" w:hAnsi="微软雅黑" w:eastAsia="微软雅黑" w:cs="微软雅黑"/>
          <w:color w:val="171717"/>
          <w:sz w:val="21"/>
          <w:szCs w:val="21"/>
        </w:rPr>
      </w:pPr>
      <w:r>
        <w:rPr>
          <w:rStyle w:val="7"/>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四、教学形式：</w:t>
      </w: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从9月8日起，2020-2021学年秋季学期全日制本科课程将恢复正常课堂教学形式，请同学们做好上课期间的个人防护和安全防范，其中：对于授课对象全部为内招生的教学班恢复线下课堂教学；对于授课对象全部为外招生的教学班，如该班学生因疫情影响全部无法返校，则该教学班实施线上教学，如该班学生有部分已经返校，部分无法返校，则该教学班开展线下课堂教学与线上教学同步的教学形式；对于内招生、外招生混合的教学班开展线下课堂教学与线上教学同步的教学形式；对于跨校区的辅修学士学位（双学位）课程实施线上教学；通识教育选修课程除已按慕课开设的课程之外，其他课程实施线下课堂教学与线上教学相结合的教学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firstLine="636"/>
        <w:jc w:val="left"/>
        <w:rPr>
          <w:rFonts w:hint="eastAsia" w:ascii="微软雅黑" w:hAnsi="微软雅黑" w:eastAsia="微软雅黑" w:cs="微软雅黑"/>
          <w:color w:val="171717"/>
          <w:sz w:val="21"/>
          <w:szCs w:val="21"/>
        </w:rPr>
      </w:pPr>
      <w:r>
        <w:rPr>
          <w:rStyle w:val="7"/>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五、</w:t>
      </w:r>
      <w:r>
        <w:rPr>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体育课：</w:t>
      </w: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学生返校后恢复线下体育课程，根据任课教师要求，结合课程内容和实际情况，开展多种形式的体育教学活动。对于因疫情影响暂无法返校的部分外招学生，以居家自主锻炼为主，对所选的体育专项课程，由任课教师通过线上教学形式先期开设理论课程或发布相关学习资源，布置学习任务，自行学习体育锻炼的理论、方法和有关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firstLine="636"/>
        <w:jc w:val="left"/>
        <w:rPr>
          <w:rFonts w:hint="eastAsia" w:ascii="微软雅黑" w:hAnsi="微软雅黑" w:eastAsia="微软雅黑" w:cs="微软雅黑"/>
          <w:color w:val="171717"/>
          <w:sz w:val="21"/>
          <w:szCs w:val="21"/>
        </w:rPr>
      </w:pPr>
      <w:r>
        <w:rPr>
          <w:rStyle w:val="7"/>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六、实验、实习等实践类课程：</w:t>
      </w: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关于实验类课程，对于已返校的同学，在保障疫情防控安全的前提下可进行线下课程教学安排，对于疫情中、高风险地区及境外尚未返校的本科学生，可继续沿用春季学期的线上教学方案，由各教学单位充分利用线上资源或其他灵活形式制订教学替代方案，以确保同学们的实验类课程能按计划完成。对于全日制本科学生的实习安排，结合当前疫情防控要求，位于疫情低风险地区且迫切需要进行实习环节的全日制本科生，可由各学院教学指导委员会进行论证并提出安全合理的实习方案交教务处备案后，予以开展相关实习教学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firstLine="516"/>
        <w:jc w:val="left"/>
        <w:rPr>
          <w:rFonts w:hint="eastAsia" w:ascii="微软雅黑" w:hAnsi="微软雅黑" w:eastAsia="微软雅黑" w:cs="微软雅黑"/>
          <w:color w:val="171717"/>
          <w:sz w:val="21"/>
          <w:szCs w:val="21"/>
        </w:rPr>
      </w:pPr>
      <w:r>
        <w:rPr>
          <w:rStyle w:val="7"/>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七</w:t>
      </w: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w:t>
      </w:r>
      <w:r>
        <w:rPr>
          <w:rStyle w:val="7"/>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其他工作</w:t>
      </w: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firstLine="516"/>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一）学籍异动申请如申请休学、复学和退学工作，学生可将申请表格交至所在教学单位教科办（无教科办可发到教学单位办公室），不能返校学生的申请表格可以将扫描件交各教学单位教科办（无教科办可发到教学单位办公室），教学单位签署意见后转交教务处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firstLine="516"/>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（二）补考和考试：2019-2020学年第二学期必修课程的补考安排在2020-2021学年秋季学期第2～4周进行。期末考试将待学生正式返校后再确定具体的考核方式。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firstLine="516"/>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三）本科生推免工作，现报名已截止，教务处将于秋季学期开学后采取线上答辩等形式进行考核并公示名单，具体日期及方案另行通知，敬请留意教务处相关工作安排。各学院应在9月8日前完成学生推荐工作，请各位有意向申请推免工作的同学务必关注意向学校的研究生招生信息，按时参加复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firstLine="516"/>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（四）派出交换学生学分认定：派出交换学生学分认定受理扫描件申请，返校后补交所有材料原件。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firstLine="516"/>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（五）课程覆盖、成绩处理等：课程覆盖、成绩处理等受理扫描件申请。由各教学单位教科办（无教科办由教学单位办公室）统一汇总，上报教务处处理。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firstLine="516"/>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同学们在学习过程中遇到困难或者疑问，请积极联系所在教学单位教科办、办公室及教务秘书老师，寻求帮助。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32" w:lineRule="atLeast"/>
        <w:ind w:left="0" w:right="0"/>
        <w:jc w:val="left"/>
        <w:rPr>
          <w:rFonts w:hint="eastAsia"/>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 </w:t>
      </w:r>
      <w:r>
        <w:rPr>
          <w:rFonts w:hint="eastAsia"/>
          <w:lang w:val="en-US" w:eastAsia="zh-CN"/>
        </w:rPr>
        <w:t>附：教务处各科室联系电话</w:t>
      </w:r>
    </w:p>
    <w:p>
      <w:pPr>
        <w:jc w:val="center"/>
        <w:rPr>
          <w:rFonts w:hint="eastAsia"/>
        </w:rPr>
      </w:pPr>
      <w:r>
        <w:rPr>
          <w:rFonts w:hint="eastAsia"/>
          <w:lang w:val="en-US" w:eastAsia="zh-CN"/>
        </w:rPr>
        <w:t>实践教学科：85228320、85220034</w:t>
      </w:r>
    </w:p>
    <w:p>
      <w:pPr>
        <w:jc w:val="center"/>
        <w:rPr>
          <w:rFonts w:hint="eastAsia"/>
        </w:rPr>
      </w:pPr>
      <w:r>
        <w:rPr>
          <w:rFonts w:hint="eastAsia"/>
          <w:lang w:val="en-US" w:eastAsia="zh-CN"/>
        </w:rPr>
        <w:t>教务科：85226556、85221231</w:t>
      </w:r>
    </w:p>
    <w:p>
      <w:pPr>
        <w:jc w:val="center"/>
        <w:rPr>
          <w:rFonts w:hint="eastAsia"/>
        </w:rPr>
      </w:pPr>
      <w:r>
        <w:rPr>
          <w:rFonts w:hint="eastAsia"/>
          <w:lang w:val="en-US" w:eastAsia="zh-CN"/>
        </w:rPr>
        <w:t>学籍科：85220035、85227693</w:t>
      </w:r>
    </w:p>
    <w:p>
      <w:pPr>
        <w:jc w:val="center"/>
        <w:rPr>
          <w:rFonts w:hint="eastAsia"/>
        </w:rPr>
      </w:pPr>
      <w:r>
        <w:rPr>
          <w:rFonts w:hint="eastAsia"/>
          <w:lang w:val="en-US" w:eastAsia="zh-CN"/>
        </w:rPr>
        <w:t>教学质量科：85226356、85220745</w:t>
      </w:r>
    </w:p>
    <w:p>
      <w:pPr>
        <w:jc w:val="center"/>
        <w:rPr>
          <w:rFonts w:hint="eastAsia"/>
        </w:rPr>
      </w:pPr>
      <w:r>
        <w:rPr>
          <w:rFonts w:hint="eastAsia"/>
          <w:lang w:val="en-US" w:eastAsia="zh-CN"/>
        </w:rPr>
        <w:t>教学研究科：85220033、85225282</w:t>
      </w:r>
    </w:p>
    <w:p>
      <w:pPr>
        <w:jc w:val="center"/>
        <w:rPr>
          <w:rFonts w:hint="eastAsia"/>
        </w:rPr>
      </w:pPr>
      <w:r>
        <w:rPr>
          <w:rFonts w:hint="eastAsia"/>
          <w:lang w:val="en-US" w:eastAsia="zh-CN"/>
        </w:rPr>
        <w:t>综合科：85222205、85220032</w:t>
      </w:r>
    </w:p>
    <w:p>
      <w:pPr>
        <w:jc w:val="center"/>
        <w:rPr>
          <w:rFonts w:hint="eastAsia"/>
        </w:rPr>
      </w:pPr>
      <w:r>
        <w:rPr>
          <w:rFonts w:hint="eastAsia"/>
          <w:lang w:val="en-US" w:eastAsia="zh-CN"/>
        </w:rPr>
        <w:t>番禺校区教科办：37330033</w:t>
      </w:r>
    </w:p>
    <w:p>
      <w:pPr>
        <w:rPr>
          <w:rFonts w:hint="eastAsia"/>
        </w:rPr>
      </w:pPr>
      <w:r>
        <w:rPr>
          <w:rFonts w:hint="eastAsia"/>
          <w:lang w:val="en-US" w:eastAsia="zh-CN"/>
        </w:rPr>
        <w:t>  </w:t>
      </w:r>
    </w:p>
    <w:p>
      <w:pPr>
        <w:jc w:val="right"/>
        <w:rPr>
          <w:rFonts w:hint="eastAsia"/>
        </w:rPr>
      </w:pPr>
      <w:r>
        <w:rPr>
          <w:rFonts w:hint="eastAsia"/>
          <w:lang w:val="en-US" w:eastAsia="zh-CN"/>
        </w:rPr>
        <w:t>暨南大学教务处</w:t>
      </w:r>
    </w:p>
    <w:p>
      <w:pPr>
        <w:jc w:val="right"/>
        <w:rPr>
          <w:rFonts w:hint="eastAsia"/>
        </w:rPr>
      </w:pPr>
      <w:r>
        <w:rPr>
          <w:rFonts w:hint="eastAsia"/>
          <w:lang w:val="en-US" w:eastAsia="zh-CN"/>
        </w:rPr>
        <w:t>2020年8月24日</w:t>
      </w:r>
    </w:p>
    <w:p/>
    <w:sectPr>
      <w:footerReference r:id="rId3" w:type="default"/>
      <w:pgSz w:w="11906" w:h="16838"/>
      <w:pgMar w:top="567" w:right="1134" w:bottom="567"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37E85"/>
    <w:rsid w:val="18237E8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2020-08-25T10:31:00Z</dcterms:created>
  <dc:creator>lenovo</dc:creator>
  <cp:lastModifiedBy>lenovo</cp:lastModifiedBy>
  <dcterms:modified xsi:type="dcterms:W3CDTF">2020-08-25T10:34:52Z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